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8115FA">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8115FA">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8115FA">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B55535">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0" w:name="art6"/>
      <w:bookmarkEnd w:id="30"/>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lastRenderedPageBreak/>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B55535">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8115FA">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8115FA">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8115FA">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115FA">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414341" w:rsidRPr="003B2BE4">
        <w:rPr>
          <w:rFonts w:ascii="Arial" w:hAnsi="Arial" w:cs="Arial"/>
          <w:sz w:val="20"/>
        </w:rPr>
        <w:t xml:space="preserve"> </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8115FA">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A516FE">
        <w:rPr>
          <w:rFonts w:ascii="Arial" w:hAnsi="Arial" w:cs="Arial"/>
          <w:sz w:val="20"/>
        </w:rPr>
        <w:t xml:space="preserve"> and 27 August 2020</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w:t>
      </w:r>
      <w:r w:rsidRPr="003B2BE4">
        <w:rPr>
          <w:rFonts w:ascii="Arial" w:hAnsi="Arial" w:cs="Arial"/>
          <w:sz w:val="20"/>
        </w:rPr>
        <w:lastRenderedPageBreak/>
        <w:t>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B5553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8115FA"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54884" w:rsidRPr="00E54884">
        <w:rPr>
          <w:rFonts w:ascii="Arial" w:hAnsi="Arial" w:cs="Arial"/>
          <w:sz w:val="20"/>
        </w:rPr>
        <w:t xml:space="preserve">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Juniors are defined as </w:t>
      </w:r>
      <w:proofErr w:type="gramStart"/>
      <w:r w:rsidRPr="003B2BE4">
        <w:rPr>
          <w:rFonts w:ascii="Arial" w:hAnsi="Arial" w:cs="Arial"/>
          <w:sz w:val="20"/>
        </w:rPr>
        <w:t>under</w:t>
      </w:r>
      <w:proofErr w:type="gramEnd"/>
      <w:r w:rsidRPr="003B2BE4">
        <w:rPr>
          <w:rFonts w:ascii="Arial" w:hAnsi="Arial" w:cs="Arial"/>
          <w:sz w:val="20"/>
        </w:rPr>
        <w:t xml:space="preserve">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8115F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DC18A2">
        <w:rPr>
          <w:rFonts w:ascii="Arial" w:hAnsi="Arial" w:cs="Arial"/>
          <w:sz w:val="20"/>
        </w:rPr>
        <w:t xml:space="preserve">,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sidRPr="00803FA8">
        <w:rPr>
          <w:rFonts w:ascii="Arial" w:hAnsi="Arial" w:cs="Arial"/>
          <w:sz w:val="20"/>
        </w:rPr>
        <w:t>.</w:t>
      </w:r>
      <w:r w:rsidR="00803FA8">
        <w:rPr>
          <w:rFonts w:ascii="Arial" w:hAnsi="Arial" w:cs="Arial"/>
          <w:sz w:val="20"/>
        </w:rPr>
        <w:t xml:space="preserve"> </w:t>
      </w:r>
      <w:proofErr w:type="gramEnd"/>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w:t>
      </w:r>
      <w:r w:rsidR="00222572">
        <w:rPr>
          <w:rFonts w:ascii="Arial" w:hAnsi="Arial" w:cs="Arial"/>
          <w:sz w:val="20"/>
        </w:rPr>
        <w:t>40</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Pr="003B2BE4">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D72F3" w:rsidP="00335FC8">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w:t>
      </w:r>
      <w:r w:rsidR="00335FC8">
        <w:rPr>
          <w:rFonts w:ascii="Arial" w:hAnsi="Arial" w:cs="Arial"/>
          <w:sz w:val="20"/>
        </w:rPr>
        <w:t>75</w:t>
      </w:r>
      <w:r w:rsidR="00A22792" w:rsidRPr="003B2BE4">
        <w:rPr>
          <w:rFonts w:ascii="Arial" w:hAnsi="Arial" w:cs="Arial"/>
          <w:sz w:val="20"/>
        </w:rPr>
        <w:t xml:space="preserve"> points (</w:t>
      </w:r>
      <w:r w:rsidR="00335FC8">
        <w:rPr>
          <w:rFonts w:ascii="Arial" w:hAnsi="Arial" w:cs="Arial"/>
          <w:sz w:val="20"/>
        </w:rPr>
        <w:t>150</w:t>
      </w:r>
      <w:r w:rsidR="00A22792" w:rsidRPr="003B2BE4">
        <w:rPr>
          <w:rFonts w:ascii="Arial" w:hAnsi="Arial" w:cs="Arial"/>
          <w:sz w:val="20"/>
        </w:rPr>
        <w:t xml:space="preserve"> if either player be a junior) shall be treated as the stronger.</w:t>
      </w:r>
      <w:r w:rsidR="00926FB5" w:rsidRPr="00926FB5">
        <w:rPr>
          <w:rFonts w:ascii="Arial" w:hAnsi="Arial" w:cs="Arial"/>
          <w:sz w:val="20"/>
        </w:rPr>
        <w:t xml:space="preserve"> </w:t>
      </w:r>
    </w:p>
    <w:p w:rsidR="00A448E8" w:rsidRPr="00A448E8" w:rsidRDefault="00A448E8" w:rsidP="00A448E8">
      <w:pPr>
        <w:tabs>
          <w:tab w:val="left" w:pos="709"/>
        </w:tabs>
        <w:spacing w:after="120"/>
        <w:jc w:val="both"/>
        <w:rPr>
          <w:rFonts w:ascii="Arial" w:hAnsi="Arial" w:cs="Arial"/>
          <w:sz w:val="20"/>
        </w:rPr>
      </w:pP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7" w:name="bl_2_8_1"/>
      <w:bookmarkEnd w:id="67"/>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8" w:name="bl_2_8_2"/>
      <w:bookmarkEnd w:id="68"/>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proofErr w:type="gramStart"/>
      <w:r w:rsidRPr="00A448E8">
        <w:rPr>
          <w:rFonts w:ascii="Arial" w:hAnsi="Arial" w:cs="Arial"/>
          <w:sz w:val="20"/>
        </w:rPr>
        <w:t>switched</w:t>
      </w:r>
      <w:proofErr w:type="gramEnd"/>
      <w:r w:rsidRPr="00A448E8">
        <w:rPr>
          <w:rFonts w:ascii="Arial" w:hAnsi="Arial" w:cs="Arial"/>
          <w:sz w:val="20"/>
        </w:rPr>
        <w:t xml:space="preserve">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lastRenderedPageBreak/>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69" w:name="bl_2_8_3"/>
      <w:bookmarkEnd w:id="69"/>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0" w:name="bl_2_8_4"/>
      <w:bookmarkEnd w:id="70"/>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1" w:name="bl_2_8_5"/>
      <w:bookmarkEnd w:id="71"/>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w:t>
      </w:r>
      <w:proofErr w:type="gramStart"/>
      <w:r w:rsidRPr="00A448E8">
        <w:rPr>
          <w:rFonts w:ascii="Arial" w:hAnsi="Arial" w:cs="Arial"/>
          <w:sz w:val="20"/>
        </w:rPr>
        <w:t>in</w:t>
      </w:r>
      <w:proofErr w:type="gramEnd"/>
      <w:r w:rsidRPr="00A448E8">
        <w:rPr>
          <w:rFonts w:ascii="Arial" w:hAnsi="Arial" w:cs="Arial"/>
          <w:sz w:val="20"/>
        </w:rPr>
        <w:t xml:space="preserve">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2" w:name="bl_2_8_7"/>
      <w:bookmarkEnd w:id="72"/>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3" w:name="bl_2_8_8"/>
      <w:bookmarkEnd w:id="73"/>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r>
      <w:proofErr w:type="gramStart"/>
      <w:r w:rsidRPr="00A448E8">
        <w:rPr>
          <w:rFonts w:ascii="Arial" w:hAnsi="Arial" w:cs="Arial"/>
          <w:sz w:val="20"/>
        </w:rPr>
        <w:t>Should</w:t>
      </w:r>
      <w:proofErr w:type="gramEnd"/>
      <w:r w:rsidRPr="00A448E8">
        <w:rPr>
          <w:rFonts w:ascii="Arial" w:hAnsi="Arial" w:cs="Arial"/>
          <w:sz w:val="20"/>
        </w:rPr>
        <w:t xml:space="preserve">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4" w:name="bl_2_9_1"/>
      <w:bookmarkEnd w:id="74"/>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8115FA">
        <w:rPr>
          <w:rFonts w:ascii="Arial" w:hAnsi="Arial" w:cs="Arial"/>
          <w:sz w:val="20"/>
        </w:rPr>
        <w:t xml:space="preserve">  </w:t>
      </w:r>
      <w:r w:rsidR="000B2C40">
        <w:rPr>
          <w:rFonts w:ascii="Arial" w:hAnsi="Arial" w:cs="Arial"/>
          <w:sz w:val="20"/>
        </w:rPr>
        <w:t xml:space="preserve">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5" w:name="bl_2_10"/>
      <w:bookmarkEnd w:id="75"/>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w:t>
      </w:r>
      <w:r>
        <w:rPr>
          <w:rFonts w:ascii="Arial" w:hAnsi="Arial" w:cs="Arial"/>
          <w:sz w:val="20"/>
        </w:rPr>
        <w:lastRenderedPageBreak/>
        <w:t xml:space="preserve">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6" w:name="bl_2_10_5"/>
      <w:bookmarkEnd w:id="76"/>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7" w:name="bl_3"/>
      <w:bookmarkEnd w:id="77"/>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8" w:name="bl_3_1_1"/>
      <w:bookmarkEnd w:id="78"/>
      <w:r w:rsidRPr="003B2BE4">
        <w:rPr>
          <w:rFonts w:ascii="Arial" w:hAnsi="Arial" w:cs="Arial"/>
          <w:sz w:val="20"/>
        </w:rPr>
        <w:t>3.1.1</w:t>
      </w:r>
      <w:r w:rsidRPr="003B2BE4">
        <w:rPr>
          <w:rFonts w:ascii="Arial" w:hAnsi="Arial" w:cs="Arial"/>
          <w:sz w:val="20"/>
        </w:rPr>
        <w:tab/>
      </w:r>
      <w:bookmarkStart w:id="79" w:name="clubComp"/>
      <w:bookmarkEnd w:id="79"/>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0" w:name="bl_3_1_1b"/>
      <w:bookmarkEnd w:id="80"/>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proofErr w:type="gramStart"/>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1_2"/>
      <w:bookmarkEnd w:id="81"/>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8115FA">
        <w:fldChar w:fldCharType="begin"/>
      </w:r>
      <w:r w:rsidR="008115FA">
        <w:instrText xml:space="preserve"> HYPERLINK \l "art1_1corpMem" </w:instrText>
      </w:r>
      <w:r w:rsidR="008115FA">
        <w:fldChar w:fldCharType="separate"/>
      </w:r>
      <w:hyperlink w:anchor="art1_1memOrg" w:history="1">
        <w:r w:rsidR="00B452BA" w:rsidRPr="003B2BE4">
          <w:rPr>
            <w:rStyle w:val="Hyperlink"/>
          </w:rPr>
          <w:t>Member Organisation</w:t>
        </w:r>
      </w:hyperlink>
      <w:r w:rsidR="008115FA">
        <w:rPr>
          <w:rStyle w:val="Hyperlink"/>
        </w:rPr>
        <w:fldChar w:fldCharType="end"/>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008115FA">
        <w:rPr>
          <w:rFonts w:ascii="Arial" w:hAnsi="Arial" w:cs="Arial"/>
          <w:sz w:val="20"/>
        </w:rPr>
        <w:t xml:space="preserve"> </w:t>
      </w:r>
      <w:r w:rsidRPr="003B2BE4">
        <w:rPr>
          <w:rFonts w:ascii="Arial" w:hAnsi="Arial" w:cs="Arial"/>
          <w:sz w:val="20"/>
        </w:rPr>
        <w:t xml:space="preserve">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8115FA">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8115F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8115FA">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 xml:space="preserve">such </w:t>
      </w:r>
      <w:r w:rsidRPr="003B2BE4">
        <w:rPr>
          <w:rFonts w:ascii="Arial" w:hAnsi="Arial" w:cs="Arial"/>
          <w:sz w:val="20"/>
        </w:rPr>
        <w:t>team other than the lowest.</w:t>
      </w:r>
      <w:r w:rsidR="008115FA">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p>
    <w:p w:rsidR="0075778A" w:rsidRPr="003B2BE4" w:rsidRDefault="005274A1"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8115FA">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4A5C3F">
        <w:rPr>
          <w:rFonts w:ascii="Arial" w:hAnsi="Arial" w:cs="Arial"/>
          <w:sz w:val="20"/>
        </w:rPr>
        <w:t xml:space="preserve"> </w:t>
      </w:r>
      <w:r w:rsidR="004A5C3F" w:rsidRPr="004A5C3F">
        <w:rPr>
          <w:rFonts w:ascii="Arial" w:hAnsi="Arial" w:cs="Arial"/>
          <w:sz w:val="20"/>
        </w:rPr>
        <w:t xml:space="preserve">in </w:t>
      </w:r>
      <w:proofErr w:type="gramStart"/>
      <w:r w:rsidR="004A5C3F" w:rsidRPr="004A5C3F">
        <w:rPr>
          <w:rFonts w:ascii="Arial" w:hAnsi="Arial" w:cs="Arial"/>
          <w:sz w:val="20"/>
        </w:rPr>
        <w:t>divisions</w:t>
      </w:r>
      <w:proofErr w:type="gramEnd"/>
      <w:r w:rsidR="004A5C3F" w:rsidRPr="004A5C3F">
        <w:rPr>
          <w:rFonts w:ascii="Arial" w:hAnsi="Arial" w:cs="Arial"/>
          <w:sz w:val="20"/>
        </w:rPr>
        <w:t xml:space="preserve">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D17348">
        <w:rPr>
          <w:rFonts w:ascii="Arial" w:hAnsi="Arial" w:cs="Arial"/>
          <w:sz w:val="20"/>
        </w:rPr>
        <w:t>1790</w:t>
      </w:r>
      <w:r w:rsidRPr="003B2BE4">
        <w:rPr>
          <w:rFonts w:ascii="Arial" w:hAnsi="Arial" w:cs="Arial"/>
          <w:sz w:val="20"/>
        </w:rPr>
        <w:t xml:space="preserve"> and eligible ungraded players shall be permitted to play in the Minor Trophy.</w:t>
      </w:r>
      <w:r w:rsidR="008115FA">
        <w:rPr>
          <w:rFonts w:ascii="Arial" w:hAnsi="Arial" w:cs="Arial"/>
          <w:sz w:val="20"/>
        </w:rPr>
        <w:t xml:space="preserve">  </w:t>
      </w:r>
      <w:r w:rsidR="00013C91">
        <w:rPr>
          <w:rFonts w:ascii="Arial" w:hAnsi="Arial" w:cs="Arial"/>
          <w:sz w:val="20"/>
        </w:rPr>
        <w:t>No player may play for more than one team in the Minor Trophy.</w:t>
      </w:r>
    </w:p>
    <w:p w:rsidR="005274A1" w:rsidRDefault="008115FA"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D17348">
        <w:rPr>
          <w:rFonts w:ascii="Arial" w:hAnsi="Arial" w:cs="Arial"/>
          <w:sz w:val="20"/>
        </w:rPr>
        <w:t>1600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B55535">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2" w:name="bl_3_2_4b"/>
      <w:bookmarkEnd w:id="82"/>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B55535">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3" w:name="bl_3_2_5_1"/>
      <w:bookmarkEnd w:id="83"/>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sidR="008115FA">
        <w:rPr>
          <w:rFonts w:ascii="Arial" w:hAnsi="Arial" w:cs="Arial"/>
          <w:sz w:val="20"/>
        </w:rPr>
        <w:t xml:space="preserve"> </w:t>
      </w:r>
      <w:r>
        <w:rPr>
          <w:rFonts w:ascii="Arial" w:hAnsi="Arial" w:cs="Arial"/>
          <w:sz w:val="20"/>
        </w:rPr>
        <w:t>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8115FA" w:rsidP="00B55535">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(b)</w:t>
      </w:r>
      <w:r w:rsidR="00F7096A">
        <w:rPr>
          <w:rFonts w:ascii="Arial" w:hAnsi="Arial" w:cs="Arial"/>
          <w:sz w:val="20"/>
        </w:rPr>
        <w:tab/>
      </w:r>
      <w:r w:rsidR="00A22792" w:rsidRPr="003B2BE4">
        <w:rPr>
          <w:rFonts w:ascii="Arial" w:hAnsi="Arial" w:cs="Arial"/>
          <w:sz w:val="20"/>
        </w:rPr>
        <w:t xml:space="preserve">If two ineligible players </w:t>
      </w:r>
      <w:r w:rsidR="00F7096A">
        <w:rPr>
          <w:rFonts w:ascii="Arial" w:hAnsi="Arial" w:cs="Arial"/>
          <w:sz w:val="20"/>
        </w:rPr>
        <w:t>are paired against</w:t>
      </w:r>
      <w:r w:rsidR="00A22792" w:rsidRPr="003B2BE4">
        <w:rPr>
          <w:rFonts w:ascii="Arial" w:hAnsi="Arial" w:cs="Arial"/>
          <w:sz w:val="20"/>
        </w:rPr>
        <w:t xml:space="preserve"> each other, </w:t>
      </w:r>
      <w:r w:rsidR="00F7096A">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8115F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4" w:name="bl_3_3_1"/>
      <w:bookmarkEnd w:id="84"/>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55535">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5" w:name="bl_3_3_1_1"/>
      <w:bookmarkEnd w:id="85"/>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EA1434" w:rsidRDefault="006C0545" w:rsidP="00B55535">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6" w:name="bl_3_3_1_2"/>
      <w:bookmarkEnd w:id="86"/>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A22792" w:rsidRPr="003B2BE4" w:rsidRDefault="006C0545" w:rsidP="00B55535">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B55535">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B55535" w:rsidP="00B55535">
      <w:pPr>
        <w:spacing w:after="120"/>
        <w:ind w:right="567"/>
        <w:rPr>
          <w:rFonts w:ascii="Arial" w:hAnsi="Arial" w:cs="Arial"/>
          <w:sz w:val="20"/>
        </w:rPr>
      </w:pPr>
      <w:r>
        <w:rPr>
          <w:rFonts w:ascii="Arial" w:hAnsi="Arial" w:cs="Arial"/>
          <w:sz w:val="20"/>
        </w:rPr>
        <w:t xml:space="preserve"> </w:t>
      </w:r>
      <w:r w:rsidR="00091826" w:rsidRPr="00091826">
        <w:rPr>
          <w:rFonts w:ascii="Arial" w:hAnsi="Arial" w:cs="Arial"/>
          <w:sz w:val="20"/>
        </w:rPr>
        <w:t>3.3.4</w:t>
      </w:r>
      <w:r w:rsidR="00091826">
        <w:rPr>
          <w:rFonts w:ascii="Arial" w:hAnsi="Arial" w:cs="Arial"/>
          <w:sz w:val="20"/>
        </w:rPr>
        <w:tab/>
      </w:r>
      <w:r w:rsidR="00091826"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7" w:name="bl_3_4_3"/>
      <w:bookmarkEnd w:id="87"/>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8" w:name="bl_3_4_4"/>
      <w:bookmarkEnd w:id="88"/>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8115FA">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8115FA">
        <w:rPr>
          <w:rFonts w:ascii="Arial" w:hAnsi="Arial" w:cs="Arial"/>
          <w:sz w:val="20"/>
        </w:rPr>
        <w:t xml:space="preserve">, </w:t>
      </w:r>
      <w:r w:rsidR="006B378C">
        <w:rPr>
          <w:rFonts w:ascii="Arial" w:hAnsi="Arial" w:cs="Arial"/>
          <w:sz w:val="20"/>
        </w:rPr>
        <w:t xml:space="preserve">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8115FA">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lastRenderedPageBreak/>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proofErr w:type="gramStart"/>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8115FA">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8115FA">
        <w:rPr>
          <w:rFonts w:ascii="Arial" w:hAnsi="Arial" w:cs="Arial"/>
          <w:sz w:val="20"/>
        </w:rPr>
        <w:t xml:space="preserve">  </w:t>
      </w:r>
      <w:r w:rsidR="00546DA2">
        <w:rPr>
          <w:rFonts w:ascii="Arial" w:hAnsi="Arial" w:cs="Arial"/>
          <w:sz w:val="20"/>
        </w:rPr>
        <w:t xml:space="preserve">Alternatively, where digital clocks are being used, players may, by mutual agreement, start with 1¼ </w:t>
      </w:r>
      <w:proofErr w:type="gramStart"/>
      <w:r w:rsidR="00546DA2">
        <w:rPr>
          <w:rFonts w:ascii="Arial" w:hAnsi="Arial" w:cs="Arial"/>
          <w:sz w:val="20"/>
        </w:rPr>
        <w:t>hours</w:t>
      </w:r>
      <w:proofErr w:type="gramEnd"/>
      <w:r w:rsidR="00546DA2">
        <w:rPr>
          <w:rFonts w:ascii="Arial" w:hAnsi="Arial" w:cs="Arial"/>
          <w:sz w:val="20"/>
        </w:rPr>
        <w:t xml:space="preserve"> for all moves with the addition of 10 seconds per move</w:t>
      </w:r>
      <w:r w:rsidR="007A14C9">
        <w:rPr>
          <w:rFonts w:ascii="Arial" w:hAnsi="Arial" w:cs="Arial"/>
          <w:color w:val="000000"/>
          <w:sz w:val="20"/>
        </w:rPr>
        <w:t>.</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2B72A8" w:rsidRPr="003B2BE4">
        <w:rPr>
          <w:rFonts w:ascii="Arial" w:hAnsi="Arial" w:cs="Arial"/>
          <w:sz w:val="20"/>
        </w:rPr>
        <w:t xml:space="preserve">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sidRPr="00505A0B">
        <w:rPr>
          <w:rFonts w:ascii="Arial" w:hAnsi="Arial" w:cs="Arial"/>
          <w:sz w:val="20"/>
        </w:rPr>
        <w:t>three new</w:t>
      </w:r>
      <w:r w:rsidRPr="003B2BE4">
        <w:rPr>
          <w:rFonts w:ascii="Arial" w:hAnsi="Arial" w:cs="Arial"/>
          <w:sz w:val="20"/>
        </w:rPr>
        <w:t xml:space="preserve"> adjudicators </w:t>
      </w:r>
      <w:r w:rsidRPr="003B2BE4">
        <w:rPr>
          <w:rFonts w:ascii="Arial" w:hAnsi="Arial" w:cs="Arial"/>
          <w:sz w:val="20"/>
        </w:rPr>
        <w:lastRenderedPageBreak/>
        <w:t xml:space="preserve">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8115FA">
        <w:rPr>
          <w:rFonts w:ascii="Arial" w:hAnsi="Arial" w:cs="Arial"/>
          <w:sz w:val="20"/>
        </w:rPr>
        <w:t xml:space="preserve"> </w:t>
      </w:r>
      <w:r w:rsidR="006033E2" w:rsidRPr="006033E2">
        <w:rPr>
          <w:rFonts w:ascii="Arial" w:hAnsi="Arial" w:cs="Arial"/>
          <w:sz w:val="20"/>
        </w:rPr>
        <w:t>of these three</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DF141B"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bookmarkStart w:id="89" w:name="bl_3_8_2"/>
      <w:bookmarkEnd w:id="89"/>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2C13A5">
        <w:rPr>
          <w:rFonts w:ascii="Arial" w:hAnsi="Arial" w:cs="Arial"/>
          <w:sz w:val="20"/>
        </w:rPr>
        <w:t>10,500</w:t>
      </w:r>
      <w:r w:rsidR="006E27EA" w:rsidRPr="006E27EA">
        <w:rPr>
          <w:rFonts w:ascii="Arial" w:hAnsi="Arial" w:cs="Arial"/>
          <w:sz w:val="20"/>
        </w:rPr>
        <w:t xml:space="preserve">, the grades of ungraded players and defaults being deemed to be the mean of the grades of the other players in the team for this purpose.  For each </w:t>
      </w:r>
      <w:r w:rsidR="002C13A5">
        <w:rPr>
          <w:rFonts w:ascii="Arial" w:hAnsi="Arial" w:cs="Arial"/>
          <w:sz w:val="20"/>
        </w:rPr>
        <w:t>190</w:t>
      </w:r>
      <w:r w:rsidR="006E27EA" w:rsidRPr="006E27EA">
        <w:rPr>
          <w:rFonts w:ascii="Arial" w:hAnsi="Arial" w:cs="Arial"/>
          <w:sz w:val="20"/>
        </w:rPr>
        <w:t xml:space="preserve"> points or part thereof by which the sum of a team’s grades is in excess of this limit, one half game point shall be deducted from that team’s match score and added to its opponent’s, up to a maximum of the </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 playing in both competitions.</w:t>
      </w:r>
    </w:p>
    <w:p w:rsidR="00A22792"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8115F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2C13A5">
        <w:rPr>
          <w:rFonts w:ascii="Arial" w:hAnsi="Arial" w:cs="Arial"/>
          <w:sz w:val="20"/>
        </w:rPr>
        <w:t>8050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w:t>
      </w:r>
      <w:r w:rsidR="00FF74D3">
        <w:rPr>
          <w:rFonts w:ascii="Arial" w:hAnsi="Arial" w:cs="Arial"/>
          <w:sz w:val="20"/>
        </w:rPr>
        <w:t>190</w:t>
      </w:r>
      <w:r w:rsidRPr="003B2BE4">
        <w:rPr>
          <w:rFonts w:ascii="Arial" w:hAnsi="Arial" w:cs="Arial"/>
          <w:sz w:val="20"/>
        </w:rPr>
        <w:t xml:space="preserve"> points or part thereof by which the sum of a team’s grades is in excess of this limit</w:t>
      </w:r>
      <w:r w:rsidR="008115F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8115FA">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 xml:space="preserve">For the purpose of this calculation, if on any individual board the grade differential is more than </w:t>
      </w:r>
      <w:r w:rsidR="000152A5">
        <w:rPr>
          <w:rFonts w:ascii="Arial" w:hAnsi="Arial" w:cs="Arial"/>
          <w:sz w:val="20"/>
        </w:rPr>
        <w:t>375</w:t>
      </w:r>
      <w:r w:rsidR="009D6B3A" w:rsidRPr="009D6B3A">
        <w:rPr>
          <w:rFonts w:ascii="Arial" w:hAnsi="Arial" w:cs="Arial"/>
          <w:sz w:val="20"/>
        </w:rPr>
        <w:t xml:space="preserve">, the grade for the lower graded player shall be deemed to be the opponent’s grade minus </w:t>
      </w:r>
      <w:r w:rsidR="000152A5">
        <w:rPr>
          <w:rFonts w:ascii="Arial" w:hAnsi="Arial" w:cs="Arial"/>
          <w:sz w:val="20"/>
        </w:rPr>
        <w:t>375</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w:t>
      </w:r>
      <w:r w:rsidRPr="009E7013">
        <w:rPr>
          <w:rFonts w:ascii="Arial" w:hAnsi="Arial" w:cs="Arial"/>
          <w:sz w:val="20"/>
        </w:rPr>
        <w:lastRenderedPageBreak/>
        <w:t xml:space="preserve">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rsidTr="00365F56">
        <w:tc>
          <w:tcPr>
            <w:tcW w:w="2082"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0 &lt; d ≤ 190</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190 &lt; d ≤ 565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565 &lt; d ≤ 940</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65F56">
        <w:tc>
          <w:tcPr>
            <w:tcW w:w="2082" w:type="dxa"/>
          </w:tcPr>
          <w:p w:rsidR="009E7013" w:rsidRDefault="00365F56" w:rsidP="008016CB">
            <w:pPr>
              <w:pStyle w:val="PlainText"/>
              <w:jc w:val="center"/>
              <w:rPr>
                <w:rFonts w:ascii="Arial" w:hAnsi="Arial" w:cs="Arial"/>
                <w:sz w:val="20"/>
                <w:szCs w:val="20"/>
              </w:rPr>
            </w:pPr>
            <w:r>
              <w:rPr>
                <w:rFonts w:ascii="Arial" w:hAnsi="Arial" w:cs="Arial"/>
                <w:sz w:val="20"/>
                <w:szCs w:val="20"/>
              </w:rPr>
              <w:t>940 &lt; d ≤ 1315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2065 &lt; d ≤ 2440</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2440 &lt; d</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rsidR="00A22792" w:rsidRPr="003B2BE4" w:rsidRDefault="00A22792"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E8701B">
        <w:rPr>
          <w:rFonts w:ascii="Arial" w:hAnsi="Arial" w:cs="Arial"/>
          <w:sz w:val="20"/>
        </w:rPr>
        <w:t>1900</w:t>
      </w:r>
      <w:r w:rsidR="008115FA">
        <w:rPr>
          <w:rFonts w:ascii="Arial" w:hAnsi="Arial" w:cs="Arial"/>
          <w:sz w:val="20"/>
        </w:rPr>
        <w:t xml:space="preserve"> </w:t>
      </w:r>
      <w:r w:rsidRPr="003B2BE4">
        <w:rPr>
          <w:rFonts w:ascii="Arial" w:hAnsi="Arial" w:cs="Arial"/>
          <w:sz w:val="20"/>
        </w:rPr>
        <w:t xml:space="preserve">and the other players must not be graded above </w:t>
      </w:r>
      <w:r w:rsidR="00E8701B">
        <w:rPr>
          <w:rFonts w:ascii="Arial" w:hAnsi="Arial" w:cs="Arial"/>
          <w:sz w:val="20"/>
        </w:rPr>
        <w:t>1750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8115FA" w:rsidP="008115FA">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Pr>
          <w:rFonts w:ascii="Arial" w:hAnsi="Arial" w:cs="Arial"/>
          <w:sz w:val="20"/>
        </w:rPr>
        <w:t>(d)</w:t>
      </w:r>
      <w:r>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B55535"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00832E2B">
        <w:rPr>
          <w:rFonts w:ascii="Arial" w:hAnsi="Arial" w:cs="Arial"/>
          <w:sz w:val="20"/>
        </w:rPr>
        <w:t>(f)</w:t>
      </w:r>
      <w:r w:rsidR="00832E2B">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B55535">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lastRenderedPageBreak/>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8115FA">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Frank Parr Memorial Prize</w:t>
      </w:r>
      <w:r w:rsidR="008115FA">
        <w:rPr>
          <w:rFonts w:ascii="Arial" w:hAnsi="Arial" w:cs="Arial"/>
          <w:sz w:val="20"/>
        </w:rPr>
        <w:t xml:space="preserve"> </w:t>
      </w:r>
      <w:r w:rsidR="00277B75" w:rsidRPr="00277B75">
        <w:rPr>
          <w:rFonts w:ascii="Arial" w:hAnsi="Arial" w:cs="Arial"/>
          <w:sz w:val="20"/>
        </w:rPr>
        <w:t>will be awarded for the overall best game in over-the-board play</w:t>
      </w:r>
      <w:r w:rsidRPr="003B2BE4">
        <w:rPr>
          <w:rFonts w:ascii="Arial" w:hAnsi="Arial" w:cs="Arial"/>
          <w:sz w:val="20"/>
        </w:rPr>
        <w:t>.</w:t>
      </w:r>
    </w:p>
    <w:p w:rsidR="00A22792" w:rsidRDefault="00A22792" w:rsidP="008115FA">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bookmarkStart w:id="90" w:name="_GoBack"/>
      <w:bookmarkEnd w:id="90"/>
    </w:p>
    <w:sectPr w:rsidR="002354D1" w:rsidRPr="00FD5B9D" w:rsidSect="0087743D">
      <w:headerReference w:type="default" r:id="rId15"/>
      <w:headerReference w:type="first" r:id="rId16"/>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CF" w:rsidRDefault="008C05CF">
      <w:r>
        <w:separator/>
      </w:r>
    </w:p>
  </w:endnote>
  <w:endnote w:type="continuationSeparator" w:id="0">
    <w:p w:rsidR="008C05CF" w:rsidRDefault="008C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FA44B4">
      <w:rPr>
        <w:rStyle w:val="PageNumber"/>
        <w:noProof/>
        <w:sz w:val="18"/>
      </w:rPr>
      <w:t>23</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FA44B4">
      <w:rPr>
        <w:rStyle w:val="PageNumber"/>
        <w:noProof/>
        <w:sz w:val="18"/>
      </w:rPr>
      <w:t>3</w:t>
    </w:r>
    <w:r>
      <w:rPr>
        <w:rStyle w:val="PageNumber"/>
        <w:sz w:val="18"/>
      </w:rPr>
      <w:fldChar w:fldCharType="end"/>
    </w:r>
  </w:p>
  <w:p w:rsidR="008115FA" w:rsidRDefault="0081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CF" w:rsidRDefault="008C05CF">
      <w:r>
        <w:separator/>
      </w:r>
    </w:p>
  </w:footnote>
  <w:footnote w:type="continuationSeparator" w:id="0">
    <w:p w:rsidR="008C05CF" w:rsidRDefault="008C0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F02E3D">
    <w:pPr>
      <w:pStyle w:val="Header"/>
      <w:jc w:val="center"/>
      <w:rPr>
        <w:smallCaps/>
        <w:sz w:val="18"/>
        <w:szCs w:val="18"/>
      </w:rPr>
    </w:pPr>
    <w:r>
      <w:rPr>
        <w:smallCaps/>
        <w:sz w:val="18"/>
        <w:szCs w:val="18"/>
      </w:rPr>
      <w:t>16/6/2007</w:t>
    </w:r>
  </w:p>
  <w:p w:rsidR="008115FA" w:rsidRPr="000676B4" w:rsidRDefault="008115FA"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7A14C9">
    <w:pPr>
      <w:pStyle w:val="Header"/>
      <w:jc w:val="center"/>
      <w:rPr>
        <w:smallCaps/>
        <w:sz w:val="18"/>
        <w:szCs w:val="18"/>
      </w:rPr>
    </w:pPr>
    <w:r>
      <w:rPr>
        <w:smallCaps/>
        <w:sz w:val="18"/>
        <w:szCs w:val="18"/>
      </w:rPr>
      <w:t>28/6/2020</w:t>
    </w:r>
  </w:p>
  <w:p w:rsidR="008115FA" w:rsidRPr="000676B4" w:rsidRDefault="008115FA"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E72F14">
    <w:pPr>
      <w:pStyle w:val="Header"/>
      <w:jc w:val="center"/>
      <w:rPr>
        <w:smallCaps/>
        <w:sz w:val="18"/>
        <w:szCs w:val="18"/>
      </w:rPr>
    </w:pPr>
    <w:r>
      <w:rPr>
        <w:smallCaps/>
        <w:sz w:val="18"/>
        <w:szCs w:val="18"/>
      </w:rPr>
      <w:t>27/8/2020</w:t>
    </w:r>
  </w:p>
  <w:p w:rsidR="008115FA" w:rsidRPr="000676B4" w:rsidRDefault="008115FA"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A" w:rsidRDefault="008115FA" w:rsidP="00E72F14">
    <w:pPr>
      <w:pStyle w:val="Header"/>
      <w:jc w:val="center"/>
      <w:rPr>
        <w:smallCaps/>
        <w:sz w:val="18"/>
        <w:szCs w:val="18"/>
      </w:rPr>
    </w:pPr>
    <w:r>
      <w:rPr>
        <w:smallCaps/>
        <w:sz w:val="18"/>
        <w:szCs w:val="18"/>
      </w:rPr>
      <w:t>27/8/2020</w:t>
    </w:r>
  </w:p>
  <w:p w:rsidR="008115FA" w:rsidRPr="00F02E3D" w:rsidRDefault="008115FA" w:rsidP="00F02E3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1DF6"/>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4FD1"/>
    <w:rsid w:val="007F5196"/>
    <w:rsid w:val="007F5326"/>
    <w:rsid w:val="007F58BC"/>
    <w:rsid w:val="007F6008"/>
    <w:rsid w:val="008016CB"/>
    <w:rsid w:val="00803FA8"/>
    <w:rsid w:val="008115FA"/>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05CF"/>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2752"/>
    <w:rsid w:val="00B55535"/>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6945"/>
    <w:rsid w:val="00C16E2A"/>
    <w:rsid w:val="00C249D2"/>
    <w:rsid w:val="00C302B5"/>
    <w:rsid w:val="00C41011"/>
    <w:rsid w:val="00C41025"/>
    <w:rsid w:val="00C446F6"/>
    <w:rsid w:val="00C45401"/>
    <w:rsid w:val="00C55AC3"/>
    <w:rsid w:val="00C62929"/>
    <w:rsid w:val="00C64CDC"/>
    <w:rsid w:val="00C72B5D"/>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44B4"/>
    <w:rsid w:val="00FA5056"/>
    <w:rsid w:val="00FA5170"/>
    <w:rsid w:val="00FC2EDA"/>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7D52-B4CC-4D79-BEBF-741370F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14780</Words>
  <Characters>84251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98834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5</cp:revision>
  <cp:lastPrinted>2006-07-23T12:26:00Z</cp:lastPrinted>
  <dcterms:created xsi:type="dcterms:W3CDTF">2020-10-22T14:38:00Z</dcterms:created>
  <dcterms:modified xsi:type="dcterms:W3CDTF">2020-10-22T15:17:00Z</dcterms:modified>
</cp:coreProperties>
</file>